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E0" w:rsidRDefault="00A431E0" w:rsidP="00A431E0">
      <w:pPr>
        <w:rPr>
          <w:color w:val="000000"/>
          <w:sz w:val="28"/>
        </w:rPr>
      </w:pPr>
    </w:p>
    <w:p w:rsidR="00A431E0" w:rsidRDefault="00A431E0" w:rsidP="00A431E0">
      <w:pPr>
        <w:shd w:val="clear" w:color="auto" w:fill="FFFFFF"/>
        <w:jc w:val="center"/>
        <w:outlineLvl w:val="0"/>
        <w:rPr>
          <w:i/>
          <w:sz w:val="28"/>
        </w:rPr>
      </w:pPr>
      <w:r>
        <w:rPr>
          <w:i/>
          <w:color w:val="000000"/>
          <w:sz w:val="28"/>
        </w:rPr>
        <w:t xml:space="preserve">Требования, предъявляемые к контрольной работе по дисциплине </w:t>
      </w:r>
      <w:r>
        <w:rPr>
          <w:i/>
          <w:sz w:val="28"/>
        </w:rPr>
        <w:t>«Правоохранительные органы»</w:t>
      </w:r>
    </w:p>
    <w:p w:rsidR="00A431E0" w:rsidRDefault="00A431E0" w:rsidP="00A431E0">
      <w:pPr>
        <w:shd w:val="clear" w:color="auto" w:fill="FFFFFF"/>
        <w:tabs>
          <w:tab w:val="left" w:pos="1134"/>
        </w:tabs>
        <w:ind w:firstLine="851"/>
        <w:jc w:val="center"/>
        <w:rPr>
          <w:b/>
          <w:color w:val="000000"/>
          <w:sz w:val="28"/>
        </w:rPr>
      </w:pPr>
    </w:p>
    <w:p w:rsidR="00A431E0" w:rsidRDefault="00A431E0" w:rsidP="00A431E0">
      <w:pPr>
        <w:shd w:val="clear" w:color="auto" w:fill="FFFFFF"/>
        <w:tabs>
          <w:tab w:val="left" w:pos="1134"/>
        </w:tabs>
        <w:ind w:firstLine="851"/>
        <w:jc w:val="both"/>
        <w:rPr>
          <w:sz w:val="28"/>
        </w:rPr>
      </w:pPr>
      <w:r>
        <w:rPr>
          <w:color w:val="000000"/>
          <w:sz w:val="28"/>
        </w:rPr>
        <w:t>Важное место в обучении слушателей-заочников занимает написание контрольных работ по изучаемым дисциплинам, в том числе и по данной. По</w:t>
      </w:r>
      <w:r>
        <w:rPr>
          <w:color w:val="000000"/>
          <w:sz w:val="28"/>
        </w:rPr>
        <w:softHyphen/>
        <w:t>этому слушатель должен творчески осмыслить изученную литературу и изло</w:t>
      </w:r>
      <w:r>
        <w:rPr>
          <w:color w:val="000000"/>
          <w:sz w:val="28"/>
        </w:rPr>
        <w:softHyphen/>
        <w:t>жить содержание темы контрольной работы самостоятельно. При этом обяза</w:t>
      </w:r>
      <w:r>
        <w:rPr>
          <w:color w:val="000000"/>
          <w:sz w:val="28"/>
        </w:rPr>
        <w:softHyphen/>
        <w:t>тельно использование конспектов лекций и материалов, которые слушатели го</w:t>
      </w:r>
      <w:r>
        <w:rPr>
          <w:color w:val="000000"/>
          <w:sz w:val="28"/>
        </w:rPr>
        <w:softHyphen/>
        <w:t>товили при подготовке к семинарским и практическим занятиям. В контроль</w:t>
      </w:r>
      <w:r>
        <w:rPr>
          <w:color w:val="000000"/>
          <w:sz w:val="28"/>
        </w:rPr>
        <w:softHyphen/>
        <w:t>ной работе, кроме того, необходимо привести примеры из собственного опыта работы или работы практических (подразделений) работников.</w:t>
      </w:r>
    </w:p>
    <w:p w:rsidR="00A431E0" w:rsidRDefault="00A431E0" w:rsidP="00A431E0">
      <w:pPr>
        <w:shd w:val="clear" w:color="auto" w:fill="FFFFFF"/>
        <w:tabs>
          <w:tab w:val="left" w:pos="1134"/>
        </w:tabs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1. Следует иметь в виду, что вариант контрольной работы выбирается по номеру последней цифры зачетной книжки, который совпадает с номером варианта. Если номер зачетной книжки заканчивается на ноль, то номер варианта – 10.</w:t>
      </w:r>
    </w:p>
    <w:p w:rsidR="00A431E0" w:rsidRDefault="00A431E0" w:rsidP="00A431E0">
      <w:pPr>
        <w:shd w:val="clear" w:color="auto" w:fill="FFFFFF"/>
        <w:tabs>
          <w:tab w:val="left" w:pos="1134"/>
        </w:tabs>
        <w:ind w:firstLine="851"/>
        <w:jc w:val="both"/>
        <w:rPr>
          <w:sz w:val="28"/>
        </w:rPr>
      </w:pPr>
      <w:r>
        <w:rPr>
          <w:color w:val="000000"/>
          <w:sz w:val="28"/>
        </w:rPr>
        <w:t>2. Отправка контрольной работы в университет для проверки должна осуще</w:t>
      </w:r>
      <w:r>
        <w:rPr>
          <w:color w:val="000000"/>
          <w:sz w:val="28"/>
        </w:rPr>
        <w:softHyphen/>
        <w:t>ствляться в установленные сроки.</w:t>
      </w:r>
    </w:p>
    <w:p w:rsidR="00A431E0" w:rsidRDefault="00A431E0" w:rsidP="00A431E0">
      <w:pPr>
        <w:shd w:val="clear" w:color="auto" w:fill="FFFFFF"/>
        <w:tabs>
          <w:tab w:val="left" w:pos="1134"/>
        </w:tabs>
        <w:ind w:firstLine="851"/>
        <w:jc w:val="both"/>
        <w:rPr>
          <w:sz w:val="28"/>
        </w:rPr>
      </w:pPr>
      <w:r>
        <w:rPr>
          <w:color w:val="000000"/>
          <w:sz w:val="28"/>
        </w:rPr>
        <w:t>3. Титульный лист должен быть оформлен полностью по всем преду</w:t>
      </w:r>
      <w:r>
        <w:rPr>
          <w:color w:val="000000"/>
          <w:sz w:val="28"/>
        </w:rPr>
        <w:softHyphen/>
        <w:t>смотренным реквизитам.</w:t>
      </w:r>
    </w:p>
    <w:p w:rsidR="00A431E0" w:rsidRDefault="00A431E0" w:rsidP="00A431E0">
      <w:pPr>
        <w:shd w:val="clear" w:color="auto" w:fill="FFFFFF"/>
        <w:tabs>
          <w:tab w:val="left" w:pos="1134"/>
        </w:tabs>
        <w:ind w:firstLine="851"/>
        <w:jc w:val="both"/>
        <w:rPr>
          <w:sz w:val="28"/>
        </w:rPr>
      </w:pPr>
      <w:r>
        <w:rPr>
          <w:color w:val="000000"/>
          <w:sz w:val="28"/>
        </w:rPr>
        <w:t>4. Структура. Контрольная работа должна иметь план, включающий в се</w:t>
      </w:r>
      <w:r>
        <w:rPr>
          <w:color w:val="000000"/>
          <w:sz w:val="28"/>
        </w:rPr>
        <w:softHyphen/>
        <w:t>бя: введение, основную часть (2 вопроса), заключение, список литературы. По</w:t>
      </w:r>
      <w:r>
        <w:rPr>
          <w:color w:val="000000"/>
          <w:sz w:val="28"/>
        </w:rPr>
        <w:softHyphen/>
        <w:t>сле списка литературы автор работы ставит дату выполнения и свою подпись. Оставляется чистое место (примерно страница) для записей преподавателя.</w:t>
      </w:r>
    </w:p>
    <w:p w:rsidR="00A431E0" w:rsidRDefault="00A431E0" w:rsidP="00A431E0">
      <w:pPr>
        <w:shd w:val="clear" w:color="auto" w:fill="FFFFFF"/>
        <w:tabs>
          <w:tab w:val="left" w:pos="1134"/>
        </w:tabs>
        <w:ind w:firstLine="851"/>
        <w:jc w:val="both"/>
        <w:rPr>
          <w:sz w:val="28"/>
        </w:rPr>
      </w:pPr>
      <w:r>
        <w:rPr>
          <w:color w:val="000000"/>
          <w:sz w:val="28"/>
        </w:rPr>
        <w:t>Во введении, как правило, обосновывается актуальность проблемы, дает</w:t>
      </w:r>
      <w:r>
        <w:rPr>
          <w:color w:val="000000"/>
          <w:sz w:val="28"/>
        </w:rPr>
        <w:softHyphen/>
        <w:t>ся общая характеристика темы и выполненной работы.</w:t>
      </w:r>
    </w:p>
    <w:p w:rsidR="00A431E0" w:rsidRDefault="00A431E0" w:rsidP="00A431E0">
      <w:pPr>
        <w:shd w:val="clear" w:color="auto" w:fill="FFFFFF"/>
        <w:tabs>
          <w:tab w:val="left" w:pos="1134"/>
        </w:tabs>
        <w:ind w:firstLine="851"/>
        <w:jc w:val="both"/>
        <w:rPr>
          <w:sz w:val="28"/>
        </w:rPr>
      </w:pPr>
      <w:r>
        <w:rPr>
          <w:color w:val="000000"/>
          <w:sz w:val="28"/>
        </w:rPr>
        <w:t>Основная часть контрольной работы должна раскрывать содержание во</w:t>
      </w:r>
      <w:r>
        <w:rPr>
          <w:color w:val="000000"/>
          <w:sz w:val="28"/>
        </w:rPr>
        <w:softHyphen/>
        <w:t>просов темы (пунктов плана). При этом автор работы обязан показать умения самостоятельного изложения изученных вопросов и практического применения полученных знаний.</w:t>
      </w:r>
    </w:p>
    <w:p w:rsidR="00A431E0" w:rsidRDefault="00A431E0" w:rsidP="00A431E0">
      <w:pPr>
        <w:shd w:val="clear" w:color="auto" w:fill="FFFFFF"/>
        <w:tabs>
          <w:tab w:val="left" w:pos="1134"/>
        </w:tabs>
        <w:ind w:firstLine="851"/>
        <w:jc w:val="both"/>
        <w:rPr>
          <w:sz w:val="28"/>
        </w:rPr>
      </w:pPr>
      <w:r>
        <w:rPr>
          <w:color w:val="000000"/>
          <w:sz w:val="28"/>
        </w:rPr>
        <w:t>В заключении подводятся итоги, высказываются собственные предложе</w:t>
      </w:r>
      <w:r>
        <w:rPr>
          <w:color w:val="000000"/>
          <w:sz w:val="28"/>
        </w:rPr>
        <w:softHyphen/>
        <w:t>ния и рекомендации, излагаются основные выводы, к которым пришел автор работы.</w:t>
      </w:r>
    </w:p>
    <w:p w:rsidR="00A431E0" w:rsidRDefault="00A431E0" w:rsidP="00A431E0">
      <w:pPr>
        <w:shd w:val="clear" w:color="auto" w:fill="FFFFFF"/>
        <w:tabs>
          <w:tab w:val="left" w:pos="1134"/>
        </w:tabs>
        <w:ind w:firstLine="851"/>
        <w:jc w:val="both"/>
        <w:rPr>
          <w:sz w:val="28"/>
        </w:rPr>
      </w:pPr>
      <w:r>
        <w:rPr>
          <w:color w:val="000000"/>
          <w:sz w:val="28"/>
        </w:rPr>
        <w:t>5. Объем контрольной работы - 12-18 страниц рукописного или 8-12 страниц машинописного текста.</w:t>
      </w:r>
    </w:p>
    <w:p w:rsidR="00A431E0" w:rsidRDefault="00A431E0" w:rsidP="00A431E0">
      <w:pPr>
        <w:shd w:val="clear" w:color="auto" w:fill="FFFFFF"/>
        <w:tabs>
          <w:tab w:val="left" w:pos="1134"/>
        </w:tabs>
        <w:ind w:firstLine="851"/>
        <w:jc w:val="both"/>
        <w:rPr>
          <w:sz w:val="28"/>
        </w:rPr>
      </w:pPr>
      <w:r>
        <w:rPr>
          <w:color w:val="000000"/>
          <w:sz w:val="28"/>
        </w:rPr>
        <w:t>6. Работа должна быть написана на достаточно научном уровне, т.е. автор должен показать умение анализировать позиции ученых, сопоставлять точки зрения, убедительно аргументировать собственное видение проблемы, умело использовать научный стиль изложения мыслей. В работе необходимо сделать личные выводы автора, сформулировать собственное мнение и привести при</w:t>
      </w:r>
      <w:r>
        <w:rPr>
          <w:color w:val="000000"/>
          <w:sz w:val="28"/>
        </w:rPr>
        <w:softHyphen/>
        <w:t>меры из практической деятельности.</w:t>
      </w:r>
    </w:p>
    <w:p w:rsidR="00A431E0" w:rsidRDefault="00A431E0" w:rsidP="00A431E0">
      <w:pPr>
        <w:shd w:val="clear" w:color="auto" w:fill="FFFFFF"/>
        <w:tabs>
          <w:tab w:val="left" w:pos="1134"/>
        </w:tabs>
        <w:ind w:firstLine="851"/>
        <w:jc w:val="both"/>
        <w:rPr>
          <w:sz w:val="28"/>
        </w:rPr>
      </w:pPr>
      <w:r>
        <w:rPr>
          <w:color w:val="000000"/>
          <w:sz w:val="28"/>
        </w:rPr>
        <w:lastRenderedPageBreak/>
        <w:t>7. При цитировании обязательно правильное оформление сносок, а при составлении списка литературы необходимо соблюдать действующие требова</w:t>
      </w:r>
      <w:r>
        <w:rPr>
          <w:color w:val="000000"/>
          <w:sz w:val="28"/>
        </w:rPr>
        <w:softHyphen/>
        <w:t>ния к оформлению справочно-библиографического аппарата.</w:t>
      </w:r>
    </w:p>
    <w:p w:rsidR="00A431E0" w:rsidRDefault="00A431E0" w:rsidP="00A431E0">
      <w:pPr>
        <w:shd w:val="clear" w:color="auto" w:fill="FFFFFF"/>
        <w:tabs>
          <w:tab w:val="left" w:pos="1134"/>
        </w:tabs>
        <w:ind w:firstLine="851"/>
        <w:jc w:val="both"/>
        <w:rPr>
          <w:sz w:val="28"/>
        </w:rPr>
      </w:pPr>
      <w:r>
        <w:rPr>
          <w:color w:val="000000"/>
          <w:sz w:val="28"/>
        </w:rPr>
        <w:t>8. Использование только учебников и учебных пособий считается недос</w:t>
      </w:r>
      <w:r>
        <w:rPr>
          <w:color w:val="000000"/>
          <w:sz w:val="28"/>
        </w:rPr>
        <w:softHyphen/>
        <w:t>таточным.</w:t>
      </w:r>
    </w:p>
    <w:p w:rsidR="00A431E0" w:rsidRDefault="00A431E0" w:rsidP="00A431E0">
      <w:pPr>
        <w:shd w:val="clear" w:color="auto" w:fill="FFFFFF"/>
        <w:tabs>
          <w:tab w:val="left" w:pos="1134"/>
        </w:tabs>
        <w:ind w:firstLine="851"/>
        <w:jc w:val="both"/>
        <w:rPr>
          <w:sz w:val="28"/>
        </w:rPr>
      </w:pPr>
      <w:r>
        <w:rPr>
          <w:color w:val="000000"/>
          <w:sz w:val="28"/>
        </w:rPr>
        <w:t>9. Просто переписывание с источников снижает ценность работы и может сказаться на решении вопроса о незачете.</w:t>
      </w:r>
    </w:p>
    <w:p w:rsidR="00A431E0" w:rsidRDefault="00A431E0" w:rsidP="00A431E0">
      <w:pPr>
        <w:shd w:val="clear" w:color="auto" w:fill="FFFFFF"/>
        <w:tabs>
          <w:tab w:val="left" w:pos="1134"/>
        </w:tabs>
        <w:ind w:firstLine="851"/>
        <w:rPr>
          <w:color w:val="000000"/>
          <w:sz w:val="28"/>
        </w:rPr>
      </w:pPr>
      <w:r>
        <w:rPr>
          <w:color w:val="000000"/>
          <w:sz w:val="28"/>
        </w:rPr>
        <w:t>10. Допускается только общепринятое сокращение слов.</w:t>
      </w:r>
    </w:p>
    <w:p w:rsidR="00A431E0" w:rsidRDefault="00A431E0" w:rsidP="00A431E0">
      <w:pPr>
        <w:shd w:val="clear" w:color="auto" w:fill="FFFFFF"/>
        <w:ind w:firstLine="379"/>
        <w:rPr>
          <w:sz w:val="28"/>
        </w:rPr>
      </w:pPr>
      <w:bookmarkStart w:id="0" w:name="_GoBack"/>
      <w:bookmarkEnd w:id="0"/>
    </w:p>
    <w:p w:rsidR="00A431E0" w:rsidRDefault="00A431E0" w:rsidP="00A431E0">
      <w:pPr>
        <w:shd w:val="clear" w:color="auto" w:fill="FFFFFF"/>
        <w:jc w:val="center"/>
        <w:outlineLvl w:val="0"/>
        <w:rPr>
          <w:b/>
          <w:sz w:val="28"/>
        </w:rPr>
      </w:pPr>
      <w:r>
        <w:rPr>
          <w:b/>
          <w:sz w:val="28"/>
        </w:rPr>
        <w:t>Вариант 10</w:t>
      </w:r>
    </w:p>
    <w:p w:rsidR="00A431E0" w:rsidRDefault="00A431E0" w:rsidP="00A431E0">
      <w:pPr>
        <w:shd w:val="clear" w:color="auto" w:fill="FFFFFF"/>
        <w:jc w:val="center"/>
        <w:outlineLvl w:val="0"/>
        <w:rPr>
          <w:sz w:val="28"/>
        </w:rPr>
      </w:pPr>
    </w:p>
    <w:p w:rsidR="00A431E0" w:rsidRDefault="00A431E0" w:rsidP="00A431E0">
      <w:pPr>
        <w:ind w:firstLine="840"/>
        <w:jc w:val="both"/>
        <w:rPr>
          <w:sz w:val="28"/>
        </w:rPr>
      </w:pPr>
      <w:r>
        <w:rPr>
          <w:sz w:val="28"/>
        </w:rPr>
        <w:t>1. Система и структура органов прокуратуры РФ.</w:t>
      </w:r>
    </w:p>
    <w:p w:rsidR="00A431E0" w:rsidRDefault="00A431E0" w:rsidP="00A431E0">
      <w:pPr>
        <w:ind w:firstLine="840"/>
        <w:jc w:val="both"/>
        <w:rPr>
          <w:sz w:val="28"/>
        </w:rPr>
      </w:pPr>
      <w:r>
        <w:rPr>
          <w:sz w:val="28"/>
        </w:rPr>
        <w:t>2. Основания и порядок прекращения членства в коллегии адвокатов.</w:t>
      </w:r>
    </w:p>
    <w:p w:rsidR="00A431E0" w:rsidRDefault="00A431E0" w:rsidP="00A431E0">
      <w:pPr>
        <w:ind w:firstLine="840"/>
        <w:jc w:val="both"/>
        <w:rPr>
          <w:sz w:val="28"/>
        </w:rPr>
      </w:pPr>
      <w:r>
        <w:rPr>
          <w:sz w:val="28"/>
        </w:rPr>
        <w:t>3. В советский районный суд г. Воронежа поступило уголовное дело по обвинению Карпова в совершении преступления, предусмотренного ч. 1 ст. 105 УК РФ. По приговору суда Карпов был осужден к 5 годам лишения свободы. Посчитав наказание слишком суровым, осужденный обратился в Воронежский областной суд с ходатайством о пересмотре дела. Рассмотрев уголовное дело по существу, областной суд оставил приговор районного суда без изменения.</w:t>
      </w:r>
    </w:p>
    <w:p w:rsidR="00A431E0" w:rsidRDefault="00A431E0" w:rsidP="00A431E0">
      <w:pPr>
        <w:ind w:firstLine="840"/>
        <w:jc w:val="both"/>
        <w:rPr>
          <w:sz w:val="28"/>
        </w:rPr>
      </w:pPr>
      <w:r>
        <w:rPr>
          <w:sz w:val="28"/>
        </w:rPr>
        <w:t>Являются ли решения указанных судов осуществлением правосудия? В качестве, каких инстанций действовали районный и областной суды?</w:t>
      </w:r>
    </w:p>
    <w:p w:rsidR="00A431E0" w:rsidRDefault="00A431E0" w:rsidP="00A431E0">
      <w:pPr>
        <w:pStyle w:val="5"/>
        <w:spacing w:before="0" w:after="0"/>
        <w:rPr>
          <w:sz w:val="28"/>
        </w:rPr>
      </w:pPr>
    </w:p>
    <w:p w:rsidR="004C55B3" w:rsidRDefault="004C55B3"/>
    <w:sectPr w:rsidR="004C5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C9"/>
    <w:rsid w:val="003A66C9"/>
    <w:rsid w:val="004C55B3"/>
    <w:rsid w:val="00A4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A73EE-3128-4764-B016-7D3A55AB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431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431E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</dc:creator>
  <cp:keywords/>
  <dc:description/>
  <cp:lastModifiedBy>Виолетта</cp:lastModifiedBy>
  <cp:revision>2</cp:revision>
  <dcterms:created xsi:type="dcterms:W3CDTF">2015-11-25T15:01:00Z</dcterms:created>
  <dcterms:modified xsi:type="dcterms:W3CDTF">2015-11-25T15:02:00Z</dcterms:modified>
</cp:coreProperties>
</file>